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713-2612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0067-01-2025-002500-17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firstLine="567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участием </w:t>
      </w:r>
      <w:r>
        <w:rPr>
          <w:rFonts w:ascii="Times New Roman" w:eastAsia="Times New Roman" w:hAnsi="Times New Roman" w:cs="Times New Roman"/>
        </w:rPr>
        <w:t xml:space="preserve">законного </w:t>
      </w:r>
      <w:r>
        <w:rPr>
          <w:rFonts w:ascii="Times New Roman" w:eastAsia="Times New Roman" w:hAnsi="Times New Roman" w:cs="Times New Roman"/>
        </w:rPr>
        <w:t>представителя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юридического</w:t>
      </w:r>
      <w:r>
        <w:rPr>
          <w:rFonts w:ascii="Times New Roman" w:eastAsia="Times New Roman" w:hAnsi="Times New Roman" w:cs="Times New Roman"/>
        </w:rPr>
        <w:t xml:space="preserve"> лица </w:t>
      </w:r>
      <w:r>
        <w:rPr>
          <w:rFonts w:ascii="Times New Roman" w:eastAsia="Times New Roman" w:hAnsi="Times New Roman" w:cs="Times New Roman"/>
        </w:rPr>
        <w:t>Евлампьевой</w:t>
      </w:r>
      <w:r>
        <w:rPr>
          <w:rFonts w:ascii="Times New Roman" w:eastAsia="Times New Roman" w:hAnsi="Times New Roman" w:cs="Times New Roman"/>
        </w:rPr>
        <w:t xml:space="preserve"> И.Ю.,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онарушении, предусмотренном 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ст.19.5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ООО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юридический адрес: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ОГРН </w:t>
      </w:r>
      <w:r>
        <w:rPr>
          <w:rStyle w:val="cat-User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15.03.2025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Style w:val="cat-UserDefinedgrp-3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по адресу: </w:t>
      </w:r>
      <w:r>
        <w:rPr>
          <w:rStyle w:val="cat-UserDefinedgrp-3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выполнил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предписание должностного лица – ведущего специалиста отдела административного контроля контрольного управления Администрации </w:t>
      </w:r>
      <w:r>
        <w:rPr>
          <w:rFonts w:ascii="Times New Roman" w:eastAsia="Times New Roman" w:hAnsi="Times New Roman" w:cs="Times New Roman"/>
        </w:rPr>
        <w:t xml:space="preserve">города Сургута от 14.01.2025 № </w:t>
      </w:r>
      <w:r>
        <w:rPr>
          <w:rFonts w:ascii="Times New Roman" w:eastAsia="Times New Roman" w:hAnsi="Times New Roman" w:cs="Times New Roman"/>
        </w:rPr>
        <w:t>4 о необходимости устранить допущенное 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срок до 14.03.2025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именно согласование информационных конструкций в департаменте архитектуры и градостроительства Администрации г. Сургута, в случае несогласования организация их демонтажа с внешней поверхности здания № 30 по ул. Энтузиастов за свой счет, </w:t>
      </w:r>
      <w:r>
        <w:rPr>
          <w:rFonts w:ascii="Times New Roman" w:eastAsia="Times New Roman" w:hAnsi="Times New Roman" w:cs="Times New Roman"/>
        </w:rPr>
        <w:t xml:space="preserve">чем нарушило требования, предусмотренные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«а, б» п. 26 ч. 5 ст. 26 Правил благоустройства территории города Сургута, утвержденных решением Думы города от 23.09.2021 № 813-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</w:rPr>
        <w:t xml:space="preserve"> ДГ «О Правилах благоустройства территории города Сургута».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законный </w:t>
      </w: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Style w:val="cat-UserDefinedgrp-39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Евлампьева</w:t>
      </w:r>
      <w:r>
        <w:rPr>
          <w:rFonts w:ascii="Times New Roman" w:eastAsia="Times New Roman" w:hAnsi="Times New Roman" w:cs="Times New Roman"/>
        </w:rPr>
        <w:t xml:space="preserve"> И.Ю.,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пояснила, что </w:t>
      </w:r>
      <w:r>
        <w:rPr>
          <w:rFonts w:ascii="Times New Roman" w:eastAsia="Times New Roman" w:hAnsi="Times New Roman" w:cs="Times New Roman"/>
        </w:rPr>
        <w:t xml:space="preserve">в соответствии с договором купли продажи нежилое помещение № б/н от 28.12.2024 г. ООО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утратило право собственности на данное помещение, продав его физическому лицу </w:t>
      </w:r>
      <w:r>
        <w:rPr>
          <w:rFonts w:ascii="Times New Roman" w:eastAsia="Times New Roman" w:hAnsi="Times New Roman" w:cs="Times New Roman"/>
        </w:rPr>
        <w:t>Евлампьевой</w:t>
      </w:r>
      <w:r>
        <w:rPr>
          <w:rFonts w:ascii="Times New Roman" w:eastAsia="Times New Roman" w:hAnsi="Times New Roman" w:cs="Times New Roman"/>
        </w:rPr>
        <w:t xml:space="preserve"> И.Ю. Деятельность ООО </w:t>
      </w:r>
      <w:r>
        <w:rPr>
          <w:rStyle w:val="cat-UserDefinedgrp-39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0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 28.12.2024 года не </w:t>
      </w:r>
      <w:r>
        <w:rPr>
          <w:rFonts w:ascii="Times New Roman" w:eastAsia="Times New Roman" w:hAnsi="Times New Roman" w:cs="Times New Roman"/>
        </w:rPr>
        <w:t>осуществляется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>о факту получения Обществом письма исх. № 28-02-2377/5 от 17.04.2025 г. конструкция с информацией бы</w:t>
      </w:r>
      <w:r>
        <w:rPr>
          <w:rFonts w:ascii="Times New Roman" w:eastAsia="Times New Roman" w:hAnsi="Times New Roman" w:cs="Times New Roman"/>
        </w:rPr>
        <w:t>ла незамедлительно демонтирован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законного представителя юридического лица, и</w:t>
      </w:r>
      <w:r>
        <w:rPr>
          <w:rFonts w:ascii="Times New Roman" w:eastAsia="Times New Roman" w:hAnsi="Times New Roman" w:cs="Times New Roman"/>
        </w:rPr>
        <w:t xml:space="preserve">зучив предоставленные материалы дела, мировой судья пришел к следующим выводам.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Style w:val="cat-UserDefinedgrp-39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</w:t>
      </w:r>
      <w:r>
        <w:rPr>
          <w:rFonts w:ascii="Times New Roman" w:eastAsia="Times New Roman" w:hAnsi="Times New Roman" w:cs="Times New Roman"/>
        </w:rPr>
        <w:t>нистративном правонарушении № 42 от 16.04</w:t>
      </w:r>
      <w:r>
        <w:rPr>
          <w:rFonts w:ascii="Times New Roman" w:eastAsia="Times New Roman" w:hAnsi="Times New Roman" w:cs="Times New Roman"/>
        </w:rPr>
        <w:t>.2025г.;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предписание об устранении выявленных нарушений обязательных требований № 4 от 14.01.2025;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акт </w:t>
      </w:r>
      <w:r>
        <w:rPr>
          <w:rFonts w:ascii="Times New Roman" w:eastAsia="Times New Roman" w:hAnsi="Times New Roman" w:cs="Times New Roman"/>
        </w:rPr>
        <w:t>выездного обследования от 10.01.20-25 № 6;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задание № 3 от 10.01.2025;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фото таблица;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ЕГРЮЛ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задание № 70 от 17.03.2025;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выездного обследования с фото таблицей № 89/1 от 17.03.2025;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список почтовых внутренних отправлений;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отчет об отслеживании отправления с почтовым идентификатором;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суд признает относимыми и допустимыми 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п. 1 ч. 2 ст. 90 </w:t>
      </w:r>
      <w:r>
        <w:rPr>
          <w:rFonts w:ascii="Times New Roman" w:eastAsia="Times New Roman" w:hAnsi="Times New Roman" w:cs="Times New Roman"/>
        </w:rPr>
        <w:t>Федерального</w:t>
      </w:r>
      <w:r>
        <w:rPr>
          <w:rFonts w:ascii="Times New Roman" w:eastAsia="Times New Roman" w:hAnsi="Times New Roman" w:cs="Times New Roman"/>
        </w:rPr>
        <w:t xml:space="preserve"> закон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 31 июля 2020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248-ФЗ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"О государственном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контроле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(надзоре) </w:t>
      </w:r>
      <w:r>
        <w:rPr>
          <w:rFonts w:ascii="Times New Roman" w:eastAsia="Times New Roman" w:hAnsi="Times New Roman" w:cs="Times New Roman"/>
        </w:rPr>
        <w:t>муниципальном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контроле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Российской Федерации"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выдать после оформления акта контрольного (надзорного) мероприятия контролируемому лицу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предписание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ч. 1 ст. 15 </w:t>
      </w:r>
      <w:r>
        <w:rPr>
          <w:rFonts w:ascii="Times New Roman" w:eastAsia="Times New Roman" w:hAnsi="Times New Roman" w:cs="Times New Roman"/>
        </w:rPr>
        <w:t>Правил благоустройства территории города Сургута, утвержденных Решением Думы г. Сургута от 26.12.2027 № 206-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</w:rPr>
        <w:t xml:space="preserve"> ДГ «О правилах благоустройства территории города Сургута»</w:t>
      </w:r>
      <w:r>
        <w:rPr>
          <w:rFonts w:ascii="Times New Roman" w:eastAsia="Times New Roman" w:hAnsi="Times New Roman" w:cs="Times New Roman"/>
        </w:rPr>
        <w:t xml:space="preserve"> (далее по тексту </w:t>
      </w:r>
      <w:r>
        <w:rPr>
          <w:rFonts w:ascii="Times New Roman" w:eastAsia="Times New Roman" w:hAnsi="Times New Roman" w:cs="Times New Roman"/>
        </w:rPr>
        <w:t>Правила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благоустройства территории города Сургута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становка и эксплуатация информационных конструкций осуществляются в соответствии с настоящей статьёй,</w:t>
      </w:r>
      <w:r>
        <w:rPr>
          <w:rFonts w:ascii="Times New Roman" w:eastAsia="Times New Roman" w:hAnsi="Times New Roman" w:cs="Times New Roman"/>
        </w:rPr>
        <w:t> </w:t>
      </w:r>
      <w:hyperlink r:id="rId4" w:anchor="/document/45245482/entry/18" w:history="1">
        <w:r>
          <w:rPr>
            <w:rFonts w:ascii="Times New Roman" w:eastAsia="Times New Roman" w:hAnsi="Times New Roman" w:cs="Times New Roman"/>
            <w:color w:val="0000EE"/>
          </w:rPr>
          <w:t>статьёй 18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настоящих Правил и</w:t>
      </w:r>
      <w:r>
        <w:rPr>
          <w:rFonts w:ascii="Times New Roman" w:eastAsia="Times New Roman" w:hAnsi="Times New Roman" w:cs="Times New Roman"/>
        </w:rPr>
        <w:t> </w:t>
      </w:r>
      <w:hyperlink r:id="rId4" w:anchor="/document/45245482/entry/1300" w:history="1">
        <w:r>
          <w:rPr>
            <w:rFonts w:ascii="Times New Roman" w:eastAsia="Times New Roman" w:hAnsi="Times New Roman" w:cs="Times New Roman"/>
            <w:color w:val="0000EE"/>
          </w:rPr>
          <w:t>Порядком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размещения и содержания информационных конструкций на территории муниципального образования городской округ Сургут, установленным</w:t>
      </w:r>
      <w:r>
        <w:rPr>
          <w:rFonts w:ascii="Times New Roman" w:eastAsia="Times New Roman" w:hAnsi="Times New Roman" w:cs="Times New Roman"/>
        </w:rPr>
        <w:t> </w:t>
      </w:r>
      <w:hyperlink r:id="rId4" w:anchor="/document/45245482/entry/1300" w:history="1">
        <w:r>
          <w:rPr>
            <w:rFonts w:ascii="Times New Roman" w:eastAsia="Times New Roman" w:hAnsi="Times New Roman" w:cs="Times New Roman"/>
            <w:color w:val="0000EE"/>
          </w:rPr>
          <w:t>приложением 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 настоящим Правилам (далее - приложение 3 к настоящим Правилам).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Информационная конструкция - объект благоустройства, выполняющий функцию информирования населения города и соответствующий требованиям, установленным настоящим Порядком</w:t>
      </w:r>
      <w:r>
        <w:rPr>
          <w:rFonts w:ascii="Times New Roman" w:eastAsia="Times New Roman" w:hAnsi="Times New Roman" w:cs="Times New Roman"/>
        </w:rPr>
        <w:t xml:space="preserve"> (часть 3 статьи 1 </w:t>
      </w:r>
      <w:r>
        <w:rPr>
          <w:rFonts w:ascii="Times New Roman" w:eastAsia="Times New Roman" w:hAnsi="Times New Roman" w:cs="Times New Roman"/>
        </w:rPr>
        <w:t>приложения 3</w:t>
      </w:r>
      <w:r>
        <w:rPr>
          <w:rFonts w:ascii="Times New Roman" w:eastAsia="Times New Roman" w:hAnsi="Times New Roman" w:cs="Times New Roman"/>
        </w:rPr>
        <w:t xml:space="preserve"> к Правилам благоустройства).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городе осуществляется размещение информационных конструкций следующих видов</w:t>
      </w:r>
      <w:r>
        <w:rPr>
          <w:rFonts w:ascii="Times New Roman" w:eastAsia="Times New Roman" w:hAnsi="Times New Roman" w:cs="Times New Roman"/>
        </w:rPr>
        <w:t xml:space="preserve">, в том числе </w:t>
      </w:r>
      <w:r>
        <w:rPr>
          <w:rFonts w:ascii="Times New Roman" w:eastAsia="Times New Roman" w:hAnsi="Times New Roman" w:cs="Times New Roman"/>
        </w:rPr>
        <w:t>вывески - информационные конструкции, размещаемые на фасадах, крышах или иных внешних поверхностях (внешних ограждающих конструкциях) зданий, строений, сооружений, в витринах, на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 (часть 4 статьи 1 </w:t>
      </w:r>
      <w:r>
        <w:rPr>
          <w:rFonts w:ascii="Times New Roman" w:eastAsia="Times New Roman" w:hAnsi="Times New Roman" w:cs="Times New Roman"/>
        </w:rPr>
        <w:t>приложения 3 к Правилам благоустройства).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п. 6 ч. 16 ст. 18 </w:t>
      </w:r>
      <w:r>
        <w:rPr>
          <w:rFonts w:ascii="Times New Roman" w:eastAsia="Times New Roman" w:hAnsi="Times New Roman" w:cs="Times New Roman"/>
        </w:rPr>
        <w:t>Правил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благоустройства территории города Сургута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апрещается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размещение на фасадах</w:t>
      </w:r>
      <w:r>
        <w:rPr>
          <w:rFonts w:ascii="Times New Roman" w:eastAsia="Times New Roman" w:hAnsi="Times New Roman" w:cs="Times New Roman"/>
        </w:rPr>
        <w:t xml:space="preserve"> информационных конструкций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при отсутствии согласованного проекта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ч. 2 </w:t>
      </w:r>
      <w:r>
        <w:rPr>
          <w:rFonts w:ascii="Times New Roman" w:eastAsia="Times New Roman" w:hAnsi="Times New Roman" w:cs="Times New Roman"/>
        </w:rPr>
        <w:t xml:space="preserve">ст. 15 </w:t>
      </w:r>
      <w:r>
        <w:rPr>
          <w:rFonts w:ascii="Times New Roman" w:eastAsia="Times New Roman" w:hAnsi="Times New Roman" w:cs="Times New Roman"/>
        </w:rPr>
        <w:t xml:space="preserve">Правил благоустройства территории города Сургута, </w:t>
      </w:r>
      <w:r>
        <w:rPr>
          <w:rFonts w:ascii="Times New Roman" w:eastAsia="Times New Roman" w:hAnsi="Times New Roman" w:cs="Times New Roman"/>
        </w:rPr>
        <w:t>размещение и эксплуатация конструкций без получения соответствующего разрешения департамента архитектуры и градостроительства Администрации города, запрещено;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8 </w:t>
      </w:r>
      <w:r>
        <w:rPr>
          <w:rFonts w:ascii="Times New Roman" w:eastAsia="Times New Roman" w:hAnsi="Times New Roman" w:cs="Times New Roman"/>
        </w:rPr>
        <w:t xml:space="preserve">ст. 15 </w:t>
      </w:r>
      <w:r>
        <w:rPr>
          <w:rFonts w:ascii="Times New Roman" w:eastAsia="Times New Roman" w:hAnsi="Times New Roman" w:cs="Times New Roman"/>
        </w:rPr>
        <w:t xml:space="preserve">Правил благоустройства территории города Сургута, </w:t>
      </w:r>
      <w:r>
        <w:rPr>
          <w:rFonts w:ascii="Times New Roman" w:eastAsia="Times New Roman" w:hAnsi="Times New Roman" w:cs="Times New Roman"/>
        </w:rPr>
        <w:t>в случае несоответствия информационных конструкций требованиям настоящих правил такие конструкции подлежат демонтажу за счет средств его владельца.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предписанию</w:t>
      </w:r>
      <w:r>
        <w:rPr>
          <w:rFonts w:ascii="Times New Roman" w:eastAsia="Times New Roman" w:hAnsi="Times New Roman" w:cs="Times New Roman"/>
        </w:rPr>
        <w:t xml:space="preserve"> от 14.01.2025 № 4 об устранении выявленных нарушений обязательных требований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Style w:val="cat-UserDefinedgrp-39rplc-6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обязан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 срок до 14.03</w:t>
      </w:r>
      <w:r>
        <w:rPr>
          <w:rFonts w:ascii="Times New Roman" w:eastAsia="Times New Roman" w:hAnsi="Times New Roman" w:cs="Times New Roman"/>
        </w:rPr>
        <w:t>.2025 г. устранить нарушения и представить в Управление соответствующие документы, что сделано не было.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Однако, суд принимает во внимание, что юридическим лицом, незамедлительно, после получения на руки предписания, хоть и после установленного предписанием срока, произведен демонтаж вывески по ул. Энтузиастов, д. 30, г. Сургута.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Довод законного представителя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Style w:val="cat-UserDefinedgrp-39rplc-6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 том, что здание по </w:t>
      </w:r>
      <w:r>
        <w:rPr>
          <w:rStyle w:val="cat-UserDefinedgrp-41rplc-6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было продано физическому лицу на дату исполнения предписания, не является юридическим значимым, поскольку демонтаж информационный конструкции производится собственником данной информационной конструкции в независимости от того, кто является собственником здания (ч. 8 ст. 15 </w:t>
      </w:r>
      <w:r>
        <w:rPr>
          <w:rFonts w:ascii="Times New Roman" w:eastAsia="Times New Roman" w:hAnsi="Times New Roman" w:cs="Times New Roman"/>
        </w:rPr>
        <w:t>Правил благоустройства территории города Сургута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о</w:t>
      </w:r>
      <w:r>
        <w:rPr>
          <w:rFonts w:ascii="Times New Roman" w:eastAsia="Times New Roman" w:hAnsi="Times New Roman" w:cs="Times New Roman"/>
        </w:rPr>
        <w:t>ценивая в совокупности представленные доказательства, суд приходит к выводу, что вина юридического лица нашла свое подтверждение.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Style w:val="cat-UserDefinedgrp-39rplc-7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ч. 1 ст. 19.5 КоАП РФ - </w:t>
      </w:r>
      <w:r>
        <w:rPr>
          <w:rFonts w:ascii="Times New Roman" w:eastAsia="Times New Roman" w:hAnsi="Times New Roman" w:cs="Times New Roman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2.9. КоАП РФ предусмотрена возможность освобождения лица, совершившего административное правонарушение, судьей, органом, должностным лицом,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отсутствием вреда и тяжких наступивших последствий,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Исходя из материалов дела,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Style w:val="cat-UserDefinedgrp-39rplc-7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информационная конструкция</w:t>
      </w:r>
      <w:r>
        <w:rPr>
          <w:rFonts w:ascii="Times New Roman" w:eastAsia="Times New Roman" w:hAnsi="Times New Roman" w:cs="Times New Roman"/>
        </w:rPr>
        <w:t xml:space="preserve"> демонтирована</w:t>
      </w:r>
      <w:r>
        <w:rPr>
          <w:rFonts w:ascii="Times New Roman" w:eastAsia="Times New Roman" w:hAnsi="Times New Roman" w:cs="Times New Roman"/>
        </w:rPr>
        <w:t xml:space="preserve"> на 25.04.2025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 xml:space="preserve">представленными в судебном заседании </w:t>
      </w:r>
      <w:r>
        <w:rPr>
          <w:rFonts w:ascii="Times New Roman" w:eastAsia="Times New Roman" w:hAnsi="Times New Roman" w:cs="Times New Roman"/>
        </w:rPr>
        <w:t>фотография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Приведенные выше обстоятельства позволяют сделать вывод о том, что совершенное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Style w:val="cat-UserDefinedgrp-39rplc-78"/>
          <w:rFonts w:ascii="Times New Roman" w:eastAsia="Times New Roman" w:hAnsi="Times New Roman" w:cs="Times New Roman"/>
        </w:rPr>
        <w:t>...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а также конкретных обстоятельств настоящего дела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ч.1 ст. 29.9 КоАП РФ,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правонарушении, предусмотренного ч. 1 </w:t>
      </w:r>
      <w:r>
        <w:rPr>
          <w:rFonts w:ascii="Times New Roman" w:eastAsia="Times New Roman" w:hAnsi="Times New Roman" w:cs="Times New Roman"/>
        </w:rPr>
        <w:t>ст.19.5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Style w:val="cat-UserDefinedgrp-39rplc-80"/>
          <w:rFonts w:ascii="Times New Roman" w:eastAsia="Times New Roman" w:hAnsi="Times New Roman" w:cs="Times New Roman"/>
        </w:rPr>
        <w:t>...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прекратить на основании статьи 2.9 КоАП РФ в связи с малозначительностью совершенного административного правонарушения и ограничиться устным замечанием.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777</w:t>
      </w:r>
      <w:r>
        <w:rPr>
          <w:rFonts w:ascii="Times New Roman" w:eastAsia="Times New Roman" w:hAnsi="Times New Roman" w:cs="Times New Roman"/>
        </w:rPr>
        <w:t>-2612/2025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7799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39rplc-61">
    <w:name w:val="cat-UserDefined grp-39 rplc-61"/>
    <w:basedOn w:val="DefaultParagraphFont"/>
  </w:style>
  <w:style w:type="character" w:customStyle="1" w:styleId="cat-UserDefinedgrp-39rplc-66">
    <w:name w:val="cat-UserDefined grp-39 rplc-66"/>
    <w:basedOn w:val="DefaultParagraphFont"/>
  </w:style>
  <w:style w:type="character" w:customStyle="1" w:styleId="cat-UserDefinedgrp-41rplc-68">
    <w:name w:val="cat-UserDefined grp-41 rplc-68"/>
    <w:basedOn w:val="DefaultParagraphFont"/>
  </w:style>
  <w:style w:type="character" w:customStyle="1" w:styleId="cat-UserDefinedgrp-39rplc-72">
    <w:name w:val="cat-UserDefined grp-39 rplc-72"/>
    <w:basedOn w:val="DefaultParagraphFont"/>
  </w:style>
  <w:style w:type="character" w:customStyle="1" w:styleId="cat-UserDefinedgrp-39rplc-75">
    <w:name w:val="cat-UserDefined grp-39 rplc-75"/>
    <w:basedOn w:val="DefaultParagraphFont"/>
  </w:style>
  <w:style w:type="character" w:customStyle="1" w:styleId="cat-UserDefinedgrp-39rplc-78">
    <w:name w:val="cat-UserDefined grp-39 rplc-78"/>
    <w:basedOn w:val="DefaultParagraphFont"/>
  </w:style>
  <w:style w:type="character" w:customStyle="1" w:styleId="cat-UserDefinedgrp-39rplc-80">
    <w:name w:val="cat-UserDefined grp-39 rplc-8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16D6D-BF67-4B75-8DDA-89084993336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